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мифический_синтез_рагнарёка_где_н_57ca79"/>
      <w:r>
        <w:rPr>
          <w:rFonts w:eastAsia="Georgia" w:cs="Georgia" w:ascii="Georgia" w:hAnsi="Georgia"/>
          <w:b/>
          <w:sz w:val="56"/>
        </w:rPr>
        <w:t xml:space="preserve">Мифический синтез «Рагнарёка»: где находится мир в языке религий</w:t>
      </w:r>
      <w:bookmarkEnd w:id="0"/>
    </w:p>
    <w:p>
      <w:pPr>
        <w:spacing w:line="271" w:before="240" w:lineRule="auto"/>
      </w:pPr>
      <w:bookmarkStart w:id="1" w:name="рамка_исследования"/>
      <w:r>
        <w:rPr>
          <w:rFonts w:eastAsia="Georgia" w:cs="Georgia" w:ascii="Georgia" w:hAnsi="Georgia"/>
          <w:b/>
          <w:sz w:val="42"/>
        </w:rPr>
        <w:t xml:space="preserve">Рамка исследования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Запрос относится к «синтезу образов» (Рагнарёк как литературная оптика) и требует сопоставления общих мотивов религий и мифологий, опираясь на академические источники.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академическом поле такие сравнения обычно делаются не как «доказательство единой религии», а как анализ повторяющихся </w:t>
      </w:r>
      <w:r>
        <w:rPr>
          <w:i/>
        </w:rPr>
        <w:t xml:space="preserve">мотивов</w:t>
      </w:r>
      <w:r>
        <w:rPr>
          <w:rFonts w:eastAsia="Georgia" w:cs="Georgia" w:ascii="Georgia" w:hAnsi="Georgia"/>
        </w:rPr>
        <w:t xml:space="preserve"> (создание → упадок → катастрофа/очищение → обновление) и их функций: этика, социальная регуляция, объяснение страдания, легитимация надежды и реформы.[1][2]</w:t>
      </w:r>
    </w:p>
    <w:p>
      <w:pPr>
        <w:spacing w:line="271" w:before="240" w:lineRule="auto"/>
      </w:pPr>
      <w:bookmarkStart w:id="2" w:name="что_такое_рагнарёк_как_тип_сюжета"/>
      <w:r>
        <w:rPr>
          <w:rFonts w:eastAsia="Georgia" w:cs="Georgia" w:ascii="Georgia" w:hAnsi="Georgia"/>
          <w:b/>
          <w:sz w:val="42"/>
        </w:rPr>
        <w:t xml:space="preserve">Что такое «Рагнарёк» как тип сюжета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Рагнарёк — это эсхатологический сюжет о крушении космического порядка, где боги (носители порядка) не спасаются, а вступают в последнюю битву и погибают, после чего мир возрождается.[3]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Критически важно: в древнескандинавской традиции эсхатология устроена как «эхо творения» — мотивы космогонии повторяются в обратном порядке (зияние/бездна; потоп; гибель/замена властителей; восстановление земли). Это даёт ключ к чтению Рагнарёка не буквально, а как модели цикличности порядка и хаоса.[3]</w:t>
      </w:r>
    </w:p>
    <w:p>
      <w:pPr>
        <w:spacing w:line="271" w:before="240" w:lineRule="auto"/>
      </w:pPr>
      <w:bookmarkStart w:id="3" w:name="универсальная_цепочка_мотивов_ске_641baa"/>
      <w:r>
        <w:rPr>
          <w:rFonts w:eastAsia="Georgia" w:cs="Georgia" w:ascii="Georgia" w:hAnsi="Georgia"/>
          <w:b/>
          <w:sz w:val="42"/>
        </w:rPr>
        <w:t xml:space="preserve">Универсальная «цепочка» мотивов (скелет повествования)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 всей несводимости традиций к одному источнику, сравнительная религиоведение фиксирует повторяемый каркас (вариативный по деталям):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Первооснова/начальный порядок</w:t>
      </w:r>
      <w:r>
        <w:rPr>
          <w:rFonts w:eastAsia="Georgia" w:cs="Georgia" w:ascii="Georgia" w:hAnsi="Georgia"/>
        </w:rPr>
        <w:t xml:space="preserve"> (космогония).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Золотой век / близость к божественному</w:t>
      </w:r>
      <w:r>
        <w:rPr>
          <w:rFonts w:eastAsia="Georgia" w:cs="Georgia" w:ascii="Georgia" w:hAnsi="Georgia"/>
        </w:rPr>
        <w:t xml:space="preserve"> (состояние правильного порядка).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Порча/упадок</w:t>
      </w:r>
      <w:r>
        <w:rPr>
          <w:rFonts w:eastAsia="Georgia" w:cs="Georgia" w:ascii="Georgia" w:hAnsi="Georgia"/>
        </w:rPr>
        <w:t xml:space="preserve"> (рост насилия, лжи, утрата меры).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Кризис конца</w:t>
      </w:r>
      <w:r>
        <w:rPr>
          <w:rFonts w:eastAsia="Georgia" w:cs="Georgia" w:ascii="Georgia" w:hAnsi="Georgia"/>
        </w:rPr>
        <w:t xml:space="preserve"> (война, огонь, потоп, «последние времена», распад норм).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Суд/различение</w:t>
      </w:r>
      <w:r>
        <w:rPr>
          <w:rFonts w:eastAsia="Georgia" w:cs="Georgia" w:ascii="Georgia" w:hAnsi="Georgia"/>
        </w:rPr>
        <w:t xml:space="preserve"> (кто «в порядке», кто «вне порядка»).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Обновление</w:t>
      </w:r>
      <w:r>
        <w:rPr>
          <w:rFonts w:eastAsia="Georgia" w:cs="Georgia" w:ascii="Georgia" w:hAnsi="Georgia"/>
        </w:rPr>
        <w:t xml:space="preserve"> (новая земля/новый век/возвращение Дхармы/Фрашокерети).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Такой каркас обнаруживается в индийских циклах юг (Сатья → … → Кали), в библейской апокалиптике «новое небо и новая земля», в зороастрийском финальном обновлении (Фрашокерети), а также в скандинавском возрождении мира после гибели старого.[4][5][6][3]</w:t>
      </w:r>
    </w:p>
    <w:p>
      <w:pPr>
        <w:spacing w:line="271" w:before="240" w:lineRule="auto"/>
      </w:pPr>
      <w:bookmarkStart w:id="4" w:name="откуда_что_вытекает_три_больших_с_fec58b"/>
      <w:r>
        <w:rPr>
          <w:rFonts w:eastAsia="Georgia" w:cs="Georgia" w:ascii="Georgia" w:hAnsi="Georgia"/>
          <w:b/>
          <w:sz w:val="42"/>
        </w:rPr>
        <w:t xml:space="preserve">«Откуда что вытекает»: три больших семейства моделей</w:t>
      </w:r>
      <w:bookmarkEnd w:id="4"/>
    </w:p>
    <w:p>
      <w:pPr>
        <w:spacing w:line="271" w:before="240" w:lineRule="auto"/>
      </w:pPr>
      <w:bookmarkStart w:id="5" w:name="циклическая_космология_индия"/>
      <w:r>
        <w:rPr>
          <w:rFonts w:eastAsia="Georgia" w:cs="Georgia" w:ascii="Georgia" w:hAnsi="Georgia"/>
          <w:b/>
          <w:sz w:val="33"/>
        </w:rPr>
        <w:t xml:space="preserve">Циклическая космология (Индия)</w:t>
      </w:r>
      <w:bookmarkEnd w:id="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Пуранические традиции систематизируют мир как повторяющиеся циклы создания, разрушения и возобновления; разрушение (пралайя) — не «провал Бога», а фазовый переход в космической ритмике.[7][4]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Сюжетная функция такова: моральный и социальный распад (Кали-юга) объясняется как закономерное снижение порядка, но одновременно сохраняется обещание обновления — возвращения Сатья-юги/восстановления Дхармы.[8][7]</w:t>
      </w:r>
    </w:p>
    <w:p>
      <w:pPr>
        <w:spacing w:line="271" w:before="240" w:lineRule="auto"/>
      </w:pPr>
      <w:bookmarkStart w:id="6" w:name="линейная_эсхатология_авраамически_52c77d"/>
      <w:r>
        <w:rPr>
          <w:rFonts w:eastAsia="Georgia" w:cs="Georgia" w:ascii="Georgia" w:hAnsi="Georgia"/>
          <w:b/>
          <w:sz w:val="33"/>
        </w:rPr>
        <w:t xml:space="preserve">Линейная эсхатология (авраамические традиции)</w:t>
      </w:r>
      <w:bookmarkEnd w:id="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иудейско-христианской и частично исламской оптике доминирует линейная схема: сотворение → история → кризис → суд → «новая земля». Современная теология подчёркивает, что эсхатология — не побег из мира, а трансформация мира (язык «восстановления/ремейкинга»), где справедливость и истина должны быть осуществлены в творении.[5][9]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Сюжетная функция: страдание и несправедливость не объявляются «нормой», им придаётся временной горизонт и перспективу окончательного правосудия.</w:t>
      </w:r>
    </w:p>
    <w:p>
      <w:pPr>
        <w:spacing w:line="271" w:before="240" w:lineRule="auto"/>
      </w:pPr>
      <w:bookmarkStart w:id="7" w:name="дуалистическая_этико_космическая_df5083"/>
      <w:r>
        <w:rPr>
          <w:rFonts w:eastAsia="Georgia" w:cs="Georgia" w:ascii="Georgia" w:hAnsi="Georgia"/>
          <w:b/>
          <w:sz w:val="33"/>
        </w:rPr>
        <w:t xml:space="preserve">Дуалистическая этико-космическая модель (зороастризм)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Зороастризм радикализует мораль: борьба добра и зла понимается как реальная космическая конфронтация, где человеческое действие значимо (выбор «истины» против «лжи»). Эта модель оказала долговременное влияние на ближневосточный религиозный ландшафт и на способы говорить о Сатане/ангелах/суде в сравнительных исследованиях.[10][6]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Финальный смысл обновления (Фрашокерети) — не просто «конец», а выпрямление повреждённого мира: зло исчерпывается, порядок истины становится необратимым.</w:t>
      </w:r>
    </w:p>
    <w:p>
      <w:pPr>
        <w:spacing w:line="271" w:before="240" w:lineRule="auto"/>
      </w:pPr>
      <w:bookmarkStart w:id="8" w:name="зачем_в_мифах_нужен_конец_света"/>
      <w:r>
        <w:rPr>
          <w:rFonts w:eastAsia="Georgia" w:cs="Georgia" w:ascii="Georgia" w:hAnsi="Georgia"/>
          <w:b/>
          <w:sz w:val="42"/>
        </w:rPr>
        <w:t xml:space="preserve">Зачем в мифах нужен «конец света»</w:t>
      </w:r>
      <w:bookmarkEnd w:id="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сравнительной перспективе «конец» выполняет не одну, а несколько функций.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Этическая функция</w:t>
      </w:r>
      <w:r>
        <w:rPr>
          <w:rFonts w:eastAsia="Georgia" w:cs="Georgia" w:ascii="Georgia" w:hAnsi="Georgia"/>
        </w:rPr>
        <w:t xml:space="preserve">: конец — это механизм предельной ответственности (всё будет «подсчитано» судом или кармой). Это дисциплинирует власть и индивида, по крайней мере в идеале.[11][12]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Политико-социальная функция</w:t>
      </w:r>
      <w:r>
        <w:rPr>
          <w:rFonts w:eastAsia="Georgia" w:cs="Georgia" w:ascii="Georgia" w:hAnsi="Georgia"/>
        </w:rPr>
        <w:t xml:space="preserve">: апокалиптика появляется в эпохи давления и насилия, давая язык сопротивления и надежды («нынешний порядок не вечен»). Это хорошо видно в исследованиях современных «политических» прочтений эсхатологии.[12]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Космологическая функция</w:t>
      </w:r>
      <w:r>
        <w:rPr>
          <w:rFonts w:eastAsia="Georgia" w:cs="Georgia" w:ascii="Georgia" w:hAnsi="Georgia"/>
        </w:rPr>
        <w:t xml:space="preserve">: обновление позволяет совместить опыт деградации с опытом смысла: мир может быть испорчен, но не является бессмысленным. В циклических моделях это решается через повторяемость фаз; в линейных — через обещание окончательного восстановления.[9][4]</w:t>
      </w:r>
    </w:p>
    <w:p>
      <w:pPr>
        <w:spacing w:line="271" w:before="240" w:lineRule="auto"/>
      </w:pPr>
      <w:bookmarkStart w:id="9" w:name="золотой_век_как_общий_образ"/>
      <w:r>
        <w:rPr>
          <w:rFonts w:eastAsia="Georgia" w:cs="Georgia" w:ascii="Georgia" w:hAnsi="Georgia"/>
          <w:b/>
          <w:sz w:val="42"/>
        </w:rPr>
        <w:t xml:space="preserve">«Золотой век» как общий образ</w:t>
      </w:r>
      <w:bookmarkEnd w:id="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Мотив золотого века появляется как память о правильном порядке и как критика настоящего. В греческой традиции (Гесиод) «века» (золотой → железный) задают схему морального ухудшения; это один из классических примеров, как миф переводит социальный опыт в метафору исторического распада.[13][14]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Сравнимо устроены индийские юги и многие сюжеты «первовремени» в других традициях: золотой век — это не столько «реальная история», сколько </w:t>
      </w:r>
      <w:r>
        <w:rPr>
          <w:i/>
        </w:rPr>
        <w:t xml:space="preserve">нормативное зеркало</w:t>
      </w:r>
      <w:r>
        <w:rPr>
          <w:rFonts w:eastAsia="Georgia" w:cs="Georgia" w:ascii="Georgia" w:hAnsi="Georgia"/>
        </w:rPr>
        <w:t xml:space="preserve">, показывающее, что нынешнее устройство не является единственно возможным.[2][8]</w:t>
      </w:r>
    </w:p>
    <w:p>
      <w:pPr>
        <w:spacing w:line="271" w:before="240" w:lineRule="auto"/>
      </w:pPr>
      <w:bookmarkStart w:id="10" w:name="что_скрывается_под_покровом_сказо_5bab83"/>
      <w:r>
        <w:rPr>
          <w:rFonts w:eastAsia="Georgia" w:cs="Georgia" w:ascii="Georgia" w:hAnsi="Georgia"/>
          <w:b/>
          <w:sz w:val="42"/>
        </w:rPr>
        <w:t xml:space="preserve">Что скрывается «под покровом сказок» (академически осторожная формулировка)</w:t>
      </w:r>
      <w:bookmarkEnd w:id="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Академическое чтение обычно избегает утверждений о «единой тайне всех религий», но допускает сильную гипотезу: мифы — это культурные механизмы, которые кодируют (а) опыт страдания и смерти, (б) потребность в моральном порядке, (в) циклы разрушения и восстановления в природе и обществе, и (г) надежду на преодоление распада.[1][2]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этом смысле «суть страданий» в мифах часто выражается не как «почему Бог допустил», а как «почему порядок ломается»: утрата меры, рост лжи, нарушение правильного отношения между людьми и миром (разные языки: Аша/Друдж; Дхарма/адхарма; грех/праведность; гармония/дисгармония).[6][4]</w:t>
      </w:r>
    </w:p>
    <w:p>
      <w:pPr>
        <w:spacing w:line="271" w:before="240" w:lineRule="auto"/>
      </w:pPr>
      <w:bookmarkStart w:id="11" w:name="где_мы_сейчас_в_синтезе_образов_б_838d6b"/>
      <w:r>
        <w:rPr>
          <w:rFonts w:eastAsia="Georgia" w:cs="Georgia" w:ascii="Georgia" w:hAnsi="Georgia"/>
          <w:b/>
          <w:sz w:val="42"/>
        </w:rPr>
        <w:t xml:space="preserve">Где «мы сейчас» в синтезе образов (без буквальности)</w:t>
      </w:r>
      <w:bookmarkEnd w:id="1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Если рассматривать «сейчас» не как календарный прогноз, а как литературно-антропологический диагноз, то многие традиции описывают подобное состояние как фазу </w:t>
      </w:r>
      <w:r>
        <w:rPr>
          <w:b/>
        </w:rPr>
        <w:t xml:space="preserve">упадка порядка</w:t>
      </w:r>
      <w:r>
        <w:rPr/>
        <w:t xml:space="preserve">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 индийской оптике — признаки Кали-юги: рост конфликтов, ослабление норм, усиление жажды власти и потребления (как язык описания морального климата, а не эмпирическая дата).[8][7]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 авраамической — «уже/ещё нет» (напряжение между обещанным царством справедливости и реальностью насилия), что в современной герменевтике трактуется как постоянный вызов к преобразованию, а не календарное гадание.[15][12]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 зороастрийской — усиление Друдж (лжи) как доминирование искажённых речей и разрушенных договоров; при этом борьба идёт прежде всего через этику мысли/слова/дела, а не через чисто ритуальную принадлежность.[6]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 «Рагнарёке» как модели — «Фимбульвинтер» (переохлаждение связей): распад доверия, вражда внутри родов, утрата общего языка, после чего «битва» выступает метафорой неизбежного кризиса систем.[3]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Синтезируя, «настоящее» во многих мифологических языках выглядит как </w:t>
      </w:r>
      <w:r>
        <w:rPr>
          <w:b/>
        </w:rPr>
        <w:t xml:space="preserve">поздняя стадия цикла</w:t>
      </w:r>
      <w:r>
        <w:rPr>
          <w:rFonts w:eastAsia="Georgia" w:cs="Georgia" w:ascii="Georgia" w:hAnsi="Georgia"/>
        </w:rPr>
        <w:t xml:space="preserve">, когда старые формы легитимности не убеждают, а новые ещё не кристаллизовались. Это состояние производит ощущение «апокалиптики» даже без религиозной веры: прежние обещания прогресса и контроля не снимают тревоги, и потому возвращается древний язык конца и обновления.[16][12]</w:t>
      </w:r>
    </w:p>
    <w:p>
      <w:pPr>
        <w:spacing w:line="271" w:before="240" w:lineRule="auto"/>
      </w:pPr>
      <w:bookmarkStart w:id="12" w:name="зачем_нужно_обновление_общая_логика"/>
      <w:r>
        <w:rPr>
          <w:rFonts w:eastAsia="Georgia" w:cs="Georgia" w:ascii="Georgia" w:hAnsi="Georgia"/>
          <w:b/>
          <w:sz w:val="42"/>
        </w:rPr>
        <w:t xml:space="preserve">Зачем нужно обновление (общая логика)</w:t>
      </w:r>
      <w:bookmarkEnd w:id="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традициях с разным метафизическим строем обновление решает одну и ту же задачу: как совместить опыт разрушения с идеей смысла.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В циклических системах обновление нужно, чтобы </w:t>
      </w:r>
      <w:r>
        <w:rPr>
          <w:b/>
        </w:rPr>
        <w:t xml:space="preserve">порядок не был одноразовым</w:t>
      </w:r>
      <w:r>
        <w:rPr>
          <w:rFonts w:eastAsia="Georgia" w:cs="Georgia" w:ascii="Georgia" w:hAnsi="Georgia"/>
        </w:rPr>
        <w:t xml:space="preserve">: мир постоянно «пересобирается» как космос, иначе история растворяется в энтропии.[4]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В линейных системах обновление нужно, чтобы </w:t>
      </w:r>
      <w:r>
        <w:rPr>
          <w:b/>
        </w:rPr>
        <w:t xml:space="preserve">справедливость не была пустым словом</w:t>
      </w:r>
      <w:r>
        <w:rPr>
          <w:rFonts w:eastAsia="Georgia" w:cs="Georgia" w:ascii="Georgia" w:hAnsi="Georgia"/>
        </w:rPr>
        <w:t xml:space="preserve">: «новая земля» — это ответ на опыт невозмещённого зла.[5][9]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В дуалистических системах обновление нужно, чтобы </w:t>
      </w:r>
      <w:r>
        <w:rPr>
          <w:b/>
        </w:rPr>
        <w:t xml:space="preserve">зло не было вечным</w:t>
      </w:r>
      <w:r>
        <w:rPr>
          <w:rFonts w:eastAsia="Georgia" w:cs="Georgia" w:ascii="Georgia" w:hAnsi="Georgia"/>
        </w:rPr>
        <w:t xml:space="preserve">: оно имеет предел и исчерпаемость, иначе этика превращается в бессильное пожелание.[6]</w:t>
      </w:r>
    </w:p>
    <w:p>
      <w:pPr>
        <w:spacing w:line="271" w:before="240" w:lineRule="auto"/>
      </w:pPr>
      <w:bookmarkStart w:id="13" w:name="конечная_цель_в_сравнительной_пер_a22fa5"/>
      <w:r>
        <w:rPr>
          <w:rFonts w:eastAsia="Georgia" w:cs="Georgia" w:ascii="Georgia" w:hAnsi="Georgia"/>
          <w:b/>
          <w:sz w:val="42"/>
        </w:rPr>
        <w:t xml:space="preserve">«Конечная цель» в сравнительной перспективе</w:t>
      </w:r>
      <w:bookmarkEnd w:id="1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Цели формулируются по-разному, но типологически сходятся к трём векторным итогам: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Восстановление/утверждение порядка</w:t>
      </w:r>
      <w:r>
        <w:rPr>
          <w:rFonts w:eastAsia="Georgia" w:cs="Georgia" w:ascii="Georgia" w:hAnsi="Georgia"/>
        </w:rPr>
        <w:t xml:space="preserve"> (истина, справедливость, дхарма, «правильный мир»).[5][6]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Трансформация субъекта</w:t>
      </w:r>
      <w:r>
        <w:rPr>
          <w:rFonts w:eastAsia="Georgia" w:cs="Georgia" w:ascii="Georgia" w:hAnsi="Georgia"/>
        </w:rPr>
        <w:t xml:space="preserve"> (спасение, освобождение, просветление, обожение/преображение). Даже там, где речь о космосе, акцент часто переносится на изменение человека и общины.[17][12]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Сведение насилия к нулю</w:t>
      </w:r>
      <w:r>
        <w:rPr>
          <w:rFonts w:eastAsia="Georgia" w:cs="Georgia" w:ascii="Georgia" w:hAnsi="Georgia"/>
        </w:rPr>
        <w:t xml:space="preserve"> (или радикальное его ограничение): эсхатологические образы служат обещанием прекращения бесконечного повторения мести и войн — пусть даже в мифологической форме.[12]</w:t>
      </w:r>
    </w:p>
    <w:p>
      <w:pPr>
        <w:spacing w:line="271" w:before="240" w:lineRule="auto"/>
      </w:pPr>
      <w:bookmarkStart w:id="14" w:name="ограничения_и_осторожности"/>
      <w:r>
        <w:rPr>
          <w:rFonts w:eastAsia="Georgia" w:cs="Georgia" w:ascii="Georgia" w:hAnsi="Georgia"/>
          <w:b/>
          <w:sz w:val="42"/>
        </w:rPr>
        <w:t xml:space="preserve">Ограничения и осторожности</w:t>
      </w:r>
      <w:bookmarkEnd w:id="1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Сильный синтез всегда рискует стереть различия. В академических дискуссиях подчеркивается, что «универсальный сюжет» может возникать не только из единого источника, но и из повторяющихся человеческих условий (смерть, катастрофы, распад политических систем, опыт несправедливости).[18][2]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Также важно, что крупные реконструкции всемирных «сюжетных линий» (например, попытки вывести «единый пра-нарратив» для многих традиций) считаются продуктивными, но спорными; вокруг них существует критика методологии и возможных культурных искажений.[19][20]</w:t>
      </w:r>
    </w:p>
    <w:p>
      <w:pPr>
        <w:spacing w:line="271" w:before="240" w:lineRule="auto"/>
      </w:pPr>
      <w:bookmarkStart w:id="15" w:name="практический_вердикт_как_писатель_3aa603"/>
      <w:r>
        <w:rPr>
          <w:rFonts w:eastAsia="Georgia" w:cs="Georgia" w:ascii="Georgia" w:hAnsi="Georgia"/>
          <w:b/>
          <w:sz w:val="42"/>
        </w:rPr>
        <w:t xml:space="preserve">Практический «вердикт» как писательская формула (без буквального пророчества)</w:t>
      </w:r>
      <w:bookmarkEnd w:id="1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Синтез образов говорит не «какая дата конца», а «какая стадия смысла»: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Мир описывается как вошедший в </w:t>
      </w:r>
      <w:r>
        <w:rPr>
          <w:b/>
        </w:rPr>
        <w:t xml:space="preserve">фазу высокой энтропии доверия</w:t>
      </w:r>
      <w:r>
        <w:rPr>
          <w:rFonts w:eastAsia="Georgia" w:cs="Georgia" w:ascii="Georgia" w:hAnsi="Georgia"/>
        </w:rPr>
        <w:t xml:space="preserve">: распада общих истин, конкурирующих космологий и политических мифов, обесценивания слова.[16][12]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В мифологическом языке это и есть «зима перед Рагнарёком», «Кали-юга», «последние времена» — не потому что завтра конец, а потому что социальная ткань демонстрирует признаки «позднего цикла».[8][3]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Во всех традициях выход формулируется как </w:t>
      </w:r>
      <w:r>
        <w:rPr>
          <w:i/>
        </w:rPr>
        <w:t xml:space="preserve">обновление порядка</w:t>
      </w:r>
      <w:r>
        <w:rPr>
          <w:rFonts w:eastAsia="Georgia" w:cs="Georgia" w:ascii="Georgia" w:hAnsi="Georgia"/>
        </w:rPr>
        <w:t xml:space="preserve">, и почти всегда это начинается с «малого»: дисциплины мысли/слова/дела (зороастризм), практики справедливости и милосердия (авраамические), восстановления дхармы через действие и знание (индийские).[15][4][6]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этом смысле «отцы тысячелетней давности» передавали не календарь, а модель: </w:t>
      </w:r>
      <w:r>
        <w:rPr>
          <w:b/>
        </w:rPr>
        <w:t xml:space="preserve">порядок ломается; человек не отменит кризис; но человек выбирает, будет ли он умножать распад или станет зерном обновления</w:t>
      </w:r>
      <w:r>
        <w:rPr/>
        <w:t xml:space="preserve">.[12][6]</w:t>
      </w:r>
    </w:p>
    <w:p>
      <w:pPr>
        <w:spacing w:line="271" w:before="240" w:lineRule="auto"/>
      </w:pPr>
      <w:bookmarkStart w:id="16" w:name="мини_карта_соответствий_для_ориентации"/>
      <w:r>
        <w:rPr>
          <w:rFonts w:eastAsia="Georgia" w:cs="Georgia" w:ascii="Georgia" w:hAnsi="Georgia"/>
          <w:b/>
          <w:sz w:val="42"/>
        </w:rPr>
        <w:t xml:space="preserve">Мини-карта соответствий (для ориентации)</w:t>
      </w:r>
      <w:bookmarkEnd w:id="16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738"/>
        <w:gridCol w:w="1738"/>
        <w:gridCol w:w="1738"/>
        <w:gridCol w:w="1738"/>
        <w:gridCol w:w="173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Традиция/корпус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Образ «упадка»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Образ «конца»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Образ «обновления»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Академический источник (в рамках данного обзора)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Древнескандинавская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Фимбульвинтер, распад родства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Рагнарёк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Новая земля после гибели старого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Исследование параллелей творения/конца[3]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Зороастризм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Усиление Друдж (лжи)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Финальная конфронтация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Фрашокерети (обновление)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Обзор трансформативности зороастризма[6]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Библейская традиция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Несправедливость/«уже-ещё нет»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Суд/эсхатон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Новое небо и новая земля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Современная эсхатология творения[5][9]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Индуизм (пуранический)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Кали-юга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Пралайя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Возвращение Сатья-юги/цикл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Сопоставление космологий, циклы создания-разрушения[4]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Сравнительная перспектива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Полиморфные «концы»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Множественность эсхатонов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Пересборка смысла/общин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«Мир со многими концами» и герменевтика эсхатологии[11][12]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7" w:name="references"/>
      <w:r>
        <w:rPr>
          <w:b/>
          <w:sz w:val="42"/>
        </w:rPr>
        <w:t xml:space="preserve">References</w:t>
      </w:r>
      <w:bookmarkEnd w:id="17"/>
    </w:p>
    <w:p>
      <w:pPr>
        <w:numPr>
          <w:ilvl w:val="0"/>
          <w:numId w:val="7"/>
        </w:numPr>
        <w:spacing w:after="210" w:lineRule="auto"/>
      </w:pPr>
      <w:hyperlink r:id="rId5">
        <w:r>
          <w:rPr>
            <w:color w:val="4472C4"/>
          </w:rPr>
          <w:t xml:space="preserve">Invitation to World Religions</w:t>
        </w:r>
      </w:hyperlink>
    </w:p>
    <w:p>
      <w:pPr>
        <w:numPr>
          <w:ilvl w:val="0"/>
          <w:numId w:val="7"/>
        </w:numPr>
        <w:spacing w:after="210" w:lineRule="auto"/>
      </w:pPr>
      <w:hyperlink r:id="rId6">
        <w:r>
          <w:rPr>
            <w:color w:val="4472C4"/>
          </w:rPr>
          <w:t xml:space="preserve">The Origins of the World's Mythologies</w:t>
        </w:r>
      </w:hyperlink>
    </w:p>
    <w:p>
      <w:pPr>
        <w:numPr>
          <w:ilvl w:val="0"/>
          <w:numId w:val="7"/>
        </w:numPr>
        <w:spacing w:after="210" w:lineRule="auto"/>
      </w:pPr>
      <w:hyperlink r:id="rId7">
        <w:r>
          <w:rPr>
            <w:color w:val="4472C4"/>
          </w:rPr>
          <w:t xml:space="preserve">The Echo of Creation: Parallels between Old Norse Cosmogony and Eschatology</w:t>
        </w:r>
      </w:hyperlink>
      <w:r>
        <w:rPr/>
        <w:t xml:space="preserve"> - The article explores the idea of an echo, both literal and structural, that connects Old Norse cosmo...</w:t>
      </w:r>
    </w:p>
    <w:p>
      <w:pPr>
        <w:numPr>
          <w:ilvl w:val="0"/>
          <w:numId w:val="7"/>
        </w:numPr>
        <w:spacing w:after="210" w:lineRule="auto"/>
      </w:pPr>
      <w:hyperlink r:id="rId8">
        <w:r>
          <w:rPr>
            <w:rFonts w:eastAsia="Georgia" w:cs="Georgia" w:ascii="Georgia" w:hAnsi="Georgia"/>
            <w:color w:val="4472C4"/>
          </w:rPr>
          <w:t xml:space="preserve">Puranic Cosmology in Vishnu Purana and Vayu Purana Compared with the Qur’anic Cosmology</w:t>
        </w:r>
      </w:hyperlink>
      <w:r>
        <w:rPr/>
        <w:t xml:space="preserve"> - The beginning and end of the world, together with its constituent elements, occupy a significant pos...</w:t>
      </w:r>
    </w:p>
    <w:p>
      <w:pPr>
        <w:numPr>
          <w:ilvl w:val="0"/>
          <w:numId w:val="7"/>
        </w:numPr>
        <w:spacing w:after="210" w:lineRule="auto"/>
      </w:pPr>
      <w:hyperlink r:id="rId9">
        <w:r>
          <w:rPr>
            <w:color w:val="4472C4"/>
          </w:rPr>
          <w:t xml:space="preserve">A New Heaven and a New Earth: Reclaiming Biblical Eschatology by J. Richard Middleton (review)</w:t>
        </w:r>
      </w:hyperlink>
    </w:p>
    <w:p>
      <w:pPr>
        <w:numPr>
          <w:ilvl w:val="0"/>
          <w:numId w:val="7"/>
        </w:numPr>
        <w:spacing w:after="210" w:lineRule="auto"/>
      </w:pPr>
      <w:hyperlink r:id="rId10">
        <w:r>
          <w:rPr>
            <w:color w:val="4472C4"/>
          </w:rPr>
          <w:t xml:space="preserve">Zoroastrianism. Innovative and Transformative Religion in the Ancient World</w:t>
        </w:r>
      </w:hyperlink>
      <w:r>
        <w:rPr/>
        <w:t xml:space="preserve"> - This article seeks to cast a new light on an ancient religion, one that stands as one of the most in...</w:t>
      </w:r>
    </w:p>
    <w:p>
      <w:pPr>
        <w:numPr>
          <w:ilvl w:val="0"/>
          <w:numId w:val="7"/>
        </w:numPr>
        <w:spacing w:after="210" w:lineRule="auto"/>
      </w:pPr>
      <w:hyperlink r:id="rId11">
        <w:r>
          <w:rPr>
            <w:color w:val="4472C4"/>
          </w:rPr>
          <w:t xml:space="preserve">Indian Cosmological Ideas</w:t>
        </w:r>
      </w:hyperlink>
      <w:r>
        <w:rPr/>
        <w:t xml:space="preserve"> - This paper, third in the series on Indian tradition of physics, describes</w:t>
      </w:r>
      <w:r>
        <w:rPr/>
        <w:br w:type="textWrapping"/>
      </w:r>
      <w:r>
        <w:rPr/>
        <w:t xml:space="preserve">conceptions of the cosmos ...</w:t>
      </w:r>
    </w:p>
    <w:p>
      <w:pPr>
        <w:numPr>
          <w:ilvl w:val="0"/>
          <w:numId w:val="7"/>
        </w:numPr>
        <w:spacing w:after="210" w:lineRule="auto"/>
      </w:pPr>
      <w:hyperlink r:id="rId12">
        <w:r>
          <w:rPr>
            <w:color w:val="4472C4"/>
          </w:rPr>
          <w:t xml:space="preserve">Merging perspectives on classical hinduism and popular hindu religion</w:t>
        </w:r>
      </w:hyperlink>
    </w:p>
    <w:p>
      <w:pPr>
        <w:numPr>
          <w:ilvl w:val="0"/>
          <w:numId w:val="7"/>
        </w:numPr>
        <w:spacing w:after="210" w:lineRule="auto"/>
      </w:pPr>
      <w:hyperlink r:id="rId13">
        <w:r>
          <w:rPr>
            <w:color w:val="4472C4"/>
          </w:rPr>
          <w:t xml:space="preserve">Transitions in Patristic Cosmology: From Cosmophobia to Universe-(Re)Making</w:t>
        </w:r>
      </w:hyperlink>
      <w:r>
        <w:rPr>
          <w:rFonts w:eastAsia="Georgia" w:cs="Georgia" w:ascii="Georgia" w:hAnsi="Georgia"/>
        </w:rPr>
        <w:t xml:space="preserve"> - ... Fletcher’s “transitions”, highlighting their suitability for a comprehensive approach to Patrist...</w:t>
      </w:r>
    </w:p>
    <w:p>
      <w:pPr>
        <w:numPr>
          <w:ilvl w:val="0"/>
          <w:numId w:val="7"/>
        </w:numPr>
        <w:spacing w:after="210" w:lineRule="auto"/>
      </w:pPr>
      <w:hyperlink r:id="rId14">
        <w:r>
          <w:rPr>
            <w:color w:val="4472C4"/>
          </w:rPr>
          <w:t xml:space="preserve">Satan in Dialogue with God: A Comparative Study between Islam, Judaism, Christianity, and Zoroastrianism.</w:t>
        </w:r>
      </w:hyperlink>
    </w:p>
    <w:p>
      <w:pPr>
        <w:numPr>
          <w:ilvl w:val="0"/>
          <w:numId w:val="7"/>
        </w:numPr>
        <w:spacing w:after="210" w:lineRule="auto"/>
      </w:pPr>
      <w:hyperlink r:id="rId15">
        <w:r>
          <w:rPr>
            <w:color w:val="4472C4"/>
          </w:rPr>
          <w:t xml:space="preserve">A World with Many Ends: Eschatology and Perspectivism</w:t>
        </w:r>
      </w:hyperlink>
      <w:r>
        <w:rPr/>
        <w:t xml:space="preserve"> - ...or even primarily logical or mathematical truth according to Rosenzweig. Truth is the reality of ...</w:t>
      </w:r>
    </w:p>
    <w:p>
      <w:pPr>
        <w:numPr>
          <w:ilvl w:val="0"/>
          <w:numId w:val="7"/>
        </w:numPr>
        <w:spacing w:after="210" w:lineRule="auto"/>
      </w:pPr>
      <w:hyperlink r:id="rId16">
        <w:r>
          <w:rPr>
            <w:color w:val="4472C4"/>
          </w:rPr>
          <w:t xml:space="preserve">Fragmented, Messianic, Paradoxical, Antinomian, Revolutionary, Secular: The Hermeneutics of Eschatology</w:t>
        </w:r>
      </w:hyperlink>
      <w:r>
        <w:rPr/>
        <w:t xml:space="preserve"> - ...human life, while, at the same time, propelled forward into new configurations of resistance to j...</w:t>
      </w:r>
    </w:p>
    <w:p>
      <w:pPr>
        <w:numPr>
          <w:ilvl w:val="0"/>
          <w:numId w:val="7"/>
        </w:numPr>
        <w:spacing w:after="210" w:lineRule="auto"/>
      </w:pPr>
      <w:hyperlink r:id="rId17">
        <w:r>
          <w:rPr>
            <w:color w:val="4472C4"/>
          </w:rPr>
          <w:t xml:space="preserve">Hesiod's Myth of the five (or three or four) races</w:t>
        </w:r>
      </w:hyperlink>
    </w:p>
    <w:p>
      <w:pPr>
        <w:numPr>
          <w:ilvl w:val="0"/>
          <w:numId w:val="7"/>
        </w:numPr>
        <w:spacing w:after="210" w:lineRule="auto"/>
      </w:pPr>
      <w:hyperlink r:id="rId18">
        <w:r>
          <w:rPr>
            <w:color w:val="4472C4"/>
          </w:rPr>
          <w:t xml:space="preserve">O kovinah v Heziodovih pesnitvah Teogonija in Dela in dnevi: kratek razmislek</w:t>
        </w:r>
      </w:hyperlink>
      <w:r>
        <w:rPr>
          <w:rFonts w:eastAsia="Georgia" w:cs="Georgia" w:ascii="Georgia" w:hAnsi="Georgia"/>
        </w:rPr>
        <w:t xml:space="preserve"> - The paper considers the perception of metals such as gold, silver, bronze and iron in Hesiod’s Theog...</w:t>
      </w:r>
    </w:p>
    <w:p>
      <w:pPr>
        <w:numPr>
          <w:ilvl w:val="0"/>
          <w:numId w:val="7"/>
        </w:numPr>
        <w:spacing w:after="210" w:lineRule="auto"/>
      </w:pPr>
      <w:hyperlink r:id="rId19">
        <w:r>
          <w:rPr>
            <w:color w:val="4472C4"/>
          </w:rPr>
          <w:t xml:space="preserve">Trends in contemporary Christian eschatological reflection</w:t>
        </w:r>
      </w:hyperlink>
      <w:r>
        <w:rPr/>
        <w:t xml:space="preserve"> - This article intends to make a scholarly contribution by mapping the main developments in the field ...</w:t>
      </w:r>
    </w:p>
    <w:p>
      <w:pPr>
        <w:numPr>
          <w:ilvl w:val="0"/>
          <w:numId w:val="7"/>
        </w:numPr>
        <w:spacing w:after="210" w:lineRule="auto"/>
      </w:pPr>
      <w:hyperlink r:id="rId20">
        <w:r>
          <w:rPr>
            <w:color w:val="4472C4"/>
          </w:rPr>
          <w:t xml:space="preserve">ARE WE REALLY GOING TO HAVE AN ESCHATOLOGICAL FUTURE</w:t>
        </w:r>
      </w:hyperlink>
      <w:r>
        <w:rPr/>
        <w:t xml:space="preserve"> - The article analyzes the interpretation of the future, in which the person either does not have a pl...</w:t>
      </w:r>
    </w:p>
    <w:p>
      <w:pPr>
        <w:numPr>
          <w:ilvl w:val="0"/>
          <w:numId w:val="7"/>
        </w:numPr>
        <w:spacing w:after="210" w:lineRule="auto"/>
      </w:pPr>
      <w:hyperlink r:id="rId21">
        <w:r>
          <w:rPr>
            <w:color w:val="4472C4"/>
          </w:rPr>
          <w:t xml:space="preserve">The Apocalypse as a Cosmotheandric Communion: A Hindu-Christian Dialogue</w:t>
        </w:r>
      </w:hyperlink>
      <w:r>
        <w:rPr/>
        <w:t xml:space="preserve"> - Theologians have been engaged in the reflections of the eschatological in the social and moral condi...</w:t>
      </w:r>
    </w:p>
    <w:p>
      <w:pPr>
        <w:numPr>
          <w:ilvl w:val="0"/>
          <w:numId w:val="7"/>
        </w:numPr>
        <w:spacing w:after="210" w:lineRule="auto"/>
      </w:pPr>
      <w:hyperlink r:id="rId22">
        <w:r>
          <w:rPr>
            <w:color w:val="4472C4"/>
          </w:rPr>
          <w:t xml:space="preserve">MANIFESTATION OF WORLDVIEWS IN TRADITIONAL NARRATIVES: RECONSTRUCTION OF GLOBAL TENDENCIES IN THE SPREAD AND THE CHRONOLOGY OF EMERGENCE OF MYTHOLOGICAL MOTIFS</w:t>
        </w:r>
      </w:hyperlink>
      <w:r>
        <w:rPr/>
        <w:t xml:space="preserve"> - ...by using systematized data, and not by proceeding from general assumptions. The earliest complex,...</w:t>
      </w:r>
    </w:p>
    <w:p>
      <w:pPr>
        <w:numPr>
          <w:ilvl w:val="0"/>
          <w:numId w:val="7"/>
        </w:numPr>
        <w:spacing w:after="210" w:lineRule="auto"/>
      </w:pPr>
      <w:hyperlink r:id="rId23">
        <w:r>
          <w:rPr>
            <w:rFonts w:eastAsia="Georgia" w:cs="Georgia" w:ascii="Georgia" w:hAnsi="Georgia"/>
            <w:color w:val="4472C4"/>
          </w:rPr>
          <w:t xml:space="preserve">Graven naar de wortels van de menselijke verbeelding: Over Michael Witzels 'The Origins of the World’s Mythologies'</w:t>
        </w:r>
      </w:hyperlink>
      <w:r>
        <w:rPr>
          <w:rFonts w:eastAsia="Georgia" w:cs="Georgia" w:ascii="Georgia" w:hAnsi="Georgia"/>
        </w:rPr>
        <w:t xml:space="preserve"> - This contribution discusses The Origins of the World’s Mythologies, a voluminous study by Wales Prof...</w:t>
      </w:r>
    </w:p>
    <w:p>
      <w:pPr>
        <w:numPr>
          <w:ilvl w:val="0"/>
          <w:numId w:val="7"/>
        </w:numPr>
        <w:spacing w:after="210" w:lineRule="auto"/>
      </w:pPr>
      <w:hyperlink r:id="rId24">
        <w:r>
          <w:rPr>
            <w:color w:val="4472C4"/>
          </w:rPr>
          <w:t xml:space="preserve">Reconstructing Man's Earliest Creation Myths: on E. J. Michael Witzel,The Origins of the World's Mythologies. Oxford, New York etc.: Oxford University Press, 2012. 665 pp.</w:t>
        </w:r>
      </w:hyperlink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emanticscholar.org/paper/522f6db8cae7aa5919297907c459c356cb566630" TargetMode="External"/><Relationship Id="rId6" Type="http://schemas.openxmlformats.org/officeDocument/2006/relationships/hyperlink" Target="https://academic.oup.com/book/33090" TargetMode="External"/><Relationship Id="rId7" Type="http://schemas.openxmlformats.org/officeDocument/2006/relationships/hyperlink" Target="https://journal.fi/temenos/article/download/100075/64498" TargetMode="External"/><Relationship Id="rId8" Type="http://schemas.openxmlformats.org/officeDocument/2006/relationships/hyperlink" Target="https://dissertia.ai/journal/index.php/DRR-HASS/article/view/Nov_2025_Sharfaei_et_al" TargetMode="External"/><Relationship Id="rId9" Type="http://schemas.openxmlformats.org/officeDocument/2006/relationships/hyperlink" Target="https://utppublishing.com/doi/10.3138/tjt.32.2.408" TargetMode="External"/><Relationship Id="rId10" Type="http://schemas.openxmlformats.org/officeDocument/2006/relationships/hyperlink" Target="https://journals.uni-vt.bg/ese/eng/vol2/iss2/art10" TargetMode="External"/><Relationship Id="rId11" Type="http://schemas.openxmlformats.org/officeDocument/2006/relationships/hyperlink" Target="https://arxiv.org/pdf/0705.1192.pdf" TargetMode="External"/><Relationship Id="rId12" Type="http://schemas.openxmlformats.org/officeDocument/2006/relationships/hyperlink" Target="https://journals.openedition.org/ebhr/pdf/436" TargetMode="External"/><Relationship Id="rId13" Type="http://schemas.openxmlformats.org/officeDocument/2006/relationships/hyperlink" Target="https://www.mdpi.com/2077-1444/15/6/728" TargetMode="External"/><Relationship Id="rId14" Type="http://schemas.openxmlformats.org/officeDocument/2006/relationships/hyperlink" Target="https://brill.com/view/journals/jqhs/13/2/article-p197_4.xml" TargetMode="External"/><Relationship Id="rId15" Type="http://schemas.openxmlformats.org/officeDocument/2006/relationships/hyperlink" Target="https://www.mdpi.com/2076-0787/11/2/31/pdf" TargetMode="External"/><Relationship Id="rId16" Type="http://schemas.openxmlformats.org/officeDocument/2006/relationships/hyperlink" Target="https://www.mdpi.com/2077-1444/8/3/44/pdf?version=1490085805" TargetMode="External"/><Relationship Id="rId17" Type="http://schemas.openxmlformats.org/officeDocument/2006/relationships/hyperlink" Target="https://www.cambridge.org/core/product/identifier/S0068673500002169/type/journal_article" TargetMode="External"/><Relationship Id="rId18" Type="http://schemas.openxmlformats.org/officeDocument/2006/relationships/hyperlink" Target="https://journals.uni-lj.si/keria/article/view/4078" TargetMode="External"/><Relationship Id="rId19" Type="http://schemas.openxmlformats.org/officeDocument/2006/relationships/hyperlink" Target="http://missionalia.journals.ac.za/pub/article/download/72/pdf_32" TargetMode="External"/><Relationship Id="rId20" Type="http://schemas.openxmlformats.org/officeDocument/2006/relationships/hyperlink" Target="http://ispcjournal.org/journals/2018-21/Rozin_PhC_vol_21_2018.pdf" TargetMode="External"/><Relationship Id="rId21" Type="http://schemas.openxmlformats.org/officeDocument/2006/relationships/hyperlink" Target="https://www.mdpi.com/2077-1444/13/10/950/pdf?version=1665413631" TargetMode="External"/><Relationship Id="rId22" Type="http://schemas.openxmlformats.org/officeDocument/2006/relationships/hyperlink" Target="https://journal.archaeology.nsc.ru/jour/article/download/363/478" TargetMode="External"/><Relationship Id="rId23" Type="http://schemas.openxmlformats.org/officeDocument/2006/relationships/hyperlink" Target="https://openjournals.ugent.be/tetradio/article/id/91849/" TargetMode="External"/><Relationship Id="rId24" Type="http://schemas.openxmlformats.org/officeDocument/2006/relationships/hyperlink" Target="https://www.degruyter.com/document/doi/10.1515/fabula-2017-0012/html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2026-02-28T18:28:26.539Z</dcterms:created>
  <dcterms:modified xsi:type="dcterms:W3CDTF">2026-02-28T18:28:26.539Z</dcterms:modified>
</cp:coreProperties>
</file>